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Техническое задание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pP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на оказание услуг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по организации и проведению курсов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</w:r>
    </w:p>
    <w:p>
      <w:pPr>
        <w:widowControl w:val="false"/>
        <w:pBdr/>
        <w:spacing w:after="0" w:line="240" w:lineRule="auto"/>
        <w:ind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yellow"/>
          <w:lang w:eastAsia="ar-SA"/>
        </w:rPr>
        <w:t xml:space="preserve">повышения квалификации/профессиональной переподготовки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left="708"/>
        <w:contextualSpacing w:val="true"/>
        <w:jc w:val="left"/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Тема: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«________________________________________________________________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»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Категория слушателей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_________________________________________________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.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Срок обучения: 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_____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академических часов.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Режим занятий: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 академических часов в день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академически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равен 45 минутам.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Количество слушателей:</w:t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Срок оказания услуг: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д</w:t>
      </w:r>
      <w:r>
        <w:rPr>
          <w:rFonts w:ascii="Times New Roman" w:hAnsi="Times New Roman"/>
          <w:sz w:val="24"/>
          <w:szCs w:val="24"/>
          <w:highlight w:val="yellow"/>
        </w:rPr>
        <w:t xml:space="preserve">о </w:t>
      </w:r>
      <w:r>
        <w:rPr>
          <w:rFonts w:ascii="Times New Roman" w:hAnsi="Times New Roman"/>
          <w:sz w:val="24"/>
          <w:szCs w:val="24"/>
          <w:highlight w:val="yellow"/>
        </w:rPr>
        <w:t xml:space="preserve">_____________________ г. </w:t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Место оказания услуг: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  <w:t xml:space="preserve">__________________________________________________.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Форма обучения: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частичным использованием дистанционных образовательных технологий. Использование ДОТ допускается только в части заочной формы обучения./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очно-заочная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/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заочная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 с использованием дистанционных образовательных технологий.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yellow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highlight w:val="yellow"/>
          <w:lang w:eastAsia="ru-RU"/>
        </w:rPr>
        <w:t xml:space="preserve">Очная часть обучения </w:t>
      </w:r>
      <w:r>
        <w:rPr>
          <w:rFonts w:ascii="Times New Roman" w:hAnsi="Times New Roman" w:eastAsia="Times New Roman"/>
          <w:b/>
          <w:i/>
          <w:iCs/>
          <w:sz w:val="24"/>
          <w:szCs w:val="24"/>
          <w:highlight w:val="yellow"/>
          <w:lang w:eastAsia="ru-RU"/>
        </w:rPr>
        <w:t xml:space="preserve">(при наличии)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составляет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____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академических часов, состоит из занятий в аудитории (без использования дистанционных образовательных технологий). Практические занятия в компьютерном классе,</w:t>
      </w:r>
      <w:bookmarkStart w:id="0" w:name="_GoBack"/>
      <w:r>
        <w:rPr>
          <w:highlight w:val="yellow"/>
        </w:rPr>
      </w:r>
      <w:bookmarkEnd w:id="0"/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 в том числе с использованием </w:t>
      </w:r>
      <w:r>
        <w:rPr>
          <w:rFonts w:ascii="Times New Roman" w:hAnsi="Times New Roman"/>
          <w:bCs/>
          <w:sz w:val="24"/>
          <w:szCs w:val="24"/>
          <w:highlight w:val="yellow"/>
          <w:lang w:eastAsia="ru-RU"/>
        </w:rPr>
        <w:t xml:space="preserve">тренажера ЕИС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(свидетельство о государственной регистрации программы для ЭВМ № 2017618808 или эквивалент) должны составлять не менее чем 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  <w:t xml:space="preserve">80% времени от общего времени аудиторных занятий.</w:t>
      </w:r>
      <w:r>
        <w:rPr>
          <w:rFonts w:ascii="Times New Roman" w:hAnsi="Times New Roman" w:eastAsia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Заочная часть обучения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состо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ит в самостоятельном изучении слушателями материалов по темам, рассматриваемым на курсах повышения квалификации с использованием электронного обучения при помощи системы дистанционного обучения (далее - СДО). Доступ к СДО должен осуществляться посредством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интернет-портала и мобильного приложения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 для смартфонов и планшетов, где доступны все материалы, лекции, справочный блок, в том числе 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видеолекции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, презентационный материал, тестовые задания для самопроверки, шаблоны документов, практические задания, которые разделяются по разделам, соответствующим темам обучения.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 xml:space="preserve">Доступ к СДО должен осуществляться через мобильное приложение и интернет-портал Исполнителя по логину и паролю, выданному при регистрации.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реализации образовательных программ с применением дистанционных образовательных технологий местом осуществления образов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 (ст. 16 Федерального закона от 29.12.2012 N 273-ФЗ "Об образовании в Российской Федерации").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Выдаваемый документ: </w:t>
      </w:r>
      <w:r>
        <w:rPr>
          <w:rFonts w:ascii="Times New Roman" w:hAnsi="Times New Roman" w:eastAsia="Times New Roman"/>
          <w:sz w:val="24"/>
          <w:szCs w:val="24"/>
          <w:highlight w:val="yellow"/>
          <w:lang w:eastAsia="ru-RU"/>
        </w:rPr>
        <w:t xml:space="preserve">удостоверение о повышении квалификации/диплом о профессиональной переподготовки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соответствии с 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709"/>
        <w:contextualSpacing w:val="true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ходе реализации обучения используются интерактивные методы взаимодействия с аудиторией, направленные на улучшение результатов освоения курса как единого целого и взаимодействующих элементов.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r>
    </w:p>
    <w:p>
      <w:pPr>
        <w:widowControl w:val="false"/>
        <w:pBdr/>
        <w:spacing w:after="0" w:line="240" w:lineRule="auto"/>
        <w:ind w:firstLine="851"/>
        <w:contextualSpacing w:val="true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Темы, рассматриваемые на курсах: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Тема 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Основы закупок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1.1.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Общее регулирование закупок отдельных видов юридических лиц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1.2. Положение о закупках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1.3. Способы закупок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1.4. Планирование закупок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1.5. Машиночитаемая доверенность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Размещение положения о закупк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ах.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</w:r>
      <w:r>
        <w:rPr>
          <w:rFonts w:ascii="Times New Roman" w:hAnsi="Times New Roman"/>
          <w:sz w:val="24"/>
          <w:szCs w:val="24"/>
          <w:u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2. Подготовка к процедуре закупки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2.1. Документация о закупке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Участник закупки. Требования к участникам закупки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Техническое задание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Обоснование начальной максимальной цены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Приоритет товаров российского происхождения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Составление плана закупки.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  <w:lang w:eastAsia="ru-RU"/>
        </w:rPr>
      </w:r>
      <w:r>
        <w:rPr>
          <w:rFonts w:ascii="Times New Roman" w:hAnsi="Times New Roman"/>
          <w:sz w:val="24"/>
          <w:szCs w:val="24"/>
          <w:u w:val="none"/>
          <w:lang w:eastAsia="ru-RU"/>
        </w:rPr>
      </w:r>
      <w:r>
        <w:rPr>
          <w:u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3. </w:t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Проведение закупочных процедур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3.1. Проведение аукциона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Проведение запроса котировок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Проведение конкурса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auto"/>
          <w:sz w:val="24"/>
          <w:szCs w:val="24"/>
          <w:highlight w:val="none"/>
        </w:rPr>
        <w:t xml:space="preserve">4. Проведение запроса предложений</w:t>
      </w:r>
      <w:r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auto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Особенности закупок у субъектов малого и среднего предпринимательства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6. Закупка у единственного поставщика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Размещение извещения.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right="0" w:firstLine="709" w:left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Тема 19. </w:t>
      </w:r>
      <w:r>
        <w:rPr>
          <w:rFonts w:ascii="Times New Roman" w:hAnsi="Times New Roman" w:eastAsia="Calibri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Договор: исполнение, приемка и контроль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4.1. Заключение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2. Содержание договора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3. Реестр договоров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 Приемка товара, работы, услуги. Порядок приемки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5. Оформление товарной накладной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6.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Оформление акта выполненных работ, оказанных услуг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7. 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Документы, подтверждающие страну происхождения товара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76" w:lineRule="auto"/>
        <w:ind w:right="0" w:firstLine="709" w:left="0"/>
        <w:jc w:val="left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8. Контроль и обжалование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4.</w:t>
      </w: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</w:rPr>
        <w:t xml:space="preserve">9. Отчетность по 223-ФЗ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Calibri" w:cs="Times New Roman"/>
          <w:b w:val="0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pBdr/>
        <w:spacing w:after="0" w:line="240" w:lineRule="auto"/>
        <w:ind w:right="0" w:firstLine="709"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 w:eastAsia="Calibri" w:cs="Times New Roman"/>
          <w:b w:val="0"/>
          <w:bCs w:val="0"/>
          <w:i w:val="0"/>
          <w:iCs w:val="0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Практическое </w:t>
      </w:r>
      <w:r>
        <w:rPr>
          <w:rFonts w:ascii="Times New Roman" w:hAnsi="Times New Roman"/>
          <w:b w:val="0"/>
          <w:bCs w:val="0"/>
          <w:sz w:val="24"/>
          <w:szCs w:val="24"/>
          <w:u w:val="single"/>
          <w:lang w:eastAsia="ru-RU"/>
        </w:rPr>
        <w:t xml:space="preserve">с использованием тренажера ЕИС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(свидетельство о государственной регистрации программы для ЭВМ № 2017618808 или эквивалент)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 Внесение сведений в реестр договоров.</w:t>
      </w:r>
      <w:r>
        <w:rPr>
          <w:b w:val="0"/>
          <w:bCs w:val="0"/>
          <w:u w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</w:r>
    </w:p>
    <w:p>
      <w:pPr>
        <w:pBdr/>
        <w:spacing w:after="0" w:line="240" w:lineRule="auto"/>
        <w:ind w:firstLine="0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Реализация образовательной программы осуществляется с привлечением квалифицированного преподавательского состава, имеющего об</w:t>
      </w:r>
      <w:r>
        <w:rPr>
          <w:rFonts w:ascii="Times New Roman" w:hAnsi="Times New Roman"/>
          <w:sz w:val="24"/>
          <w:szCs w:val="24"/>
          <w:lang w:eastAsia="ru-RU"/>
        </w:rPr>
        <w:t xml:space="preserve">разование, соответствующее требованиям профессиональных стандартов «Специалист в сфере закупок», «Эксперт в сфере закупок», базовое образование по профилю преподаваемой дисциплины. В ходе обучения привлекаемыми Исполнителем преподавателями содержание вопро</w:t>
      </w:r>
      <w:r>
        <w:rPr>
          <w:rFonts w:ascii="Times New Roman" w:hAnsi="Times New Roman"/>
          <w:sz w:val="24"/>
          <w:szCs w:val="24"/>
          <w:lang w:eastAsia="ru-RU"/>
        </w:rPr>
        <w:t xml:space="preserve">сов, по которым проводится обучение, должно быть раскрыто полностью (исчерпывающе). В случае наличия вопросов слушателей по тематике обучения, привлекаемые Исполнителем преподаватели должны ответить слушателям на указанные вопросы полностью (исчерпывающе).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Аудиторное обучение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  <w:highlight w:val="yellow"/>
          <w:lang w:eastAsia="ru-RU"/>
        </w:rPr>
        <w:t xml:space="preserve">(при наличии)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должно проходить с привлечением преподавателя, сертифицированного оператором электронной площадки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(АО «Сбербанк-АСТ» и (или) АО «ЕЭТП» и (или) ООО «РТС-Тендер» и (или) АО «ТЭК-Торг» и (или) ООО «ЭТП ГПБ» и (или) АО «РАД» и (или) АО «АГЗРТ» и (или) АО «ЭТС») для рассмотрения теоретических и практических норм применения законодательства в сфере закупок.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Аудиторные занятия должны быть организованы, в том числе, в форме круглого стола, проблемно – аналитических тренингов с рассмотрением практических примеров законодательства о контрактной системе.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Учебный класс для проведения аудиторной части обучения должен быть укомплектован: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столами (партами);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стульями;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</w:t>
      </w: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персональными компьютерами (или ноутбуками) в количестве по 1 штуке для каждого обучающегося,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 с установленным программным обеспечением для работы на тренажере ЕИС, на электронных площадках, позволяющих работать с текстом и изображениями, и доступом к сети Интернет; 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  <w:lang w:eastAsia="ru-RU"/>
        </w:rPr>
        <w:t xml:space="preserve">- мультимедийным, видеопроекционным оборудованием, позволяющим воспроизводить демонстрационные материалы.</w:t>
      </w:r>
      <w:r>
        <w:rPr>
          <w:rFonts w:ascii="Times New Roman" w:hAnsi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Выполнение практических занятий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,</w:t>
      </w:r>
      <w:r>
        <w:rPr>
          <w:rFonts w:ascii="Times New Roman" w:hAnsi="Times New Roman"/>
          <w:sz w:val="24"/>
          <w:szCs w:val="24"/>
          <w:lang w:eastAsia="ru-RU"/>
        </w:rPr>
        <w:t xml:space="preserve"> с целью отработки навыков работы на электронной площадке, должны выполняться в том числе с использованием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учебной версии электронной площадки</w:t>
      </w:r>
      <w:r>
        <w:rPr>
          <w:rFonts w:ascii="Times New Roman" w:hAnsi="Times New Roman"/>
          <w:sz w:val="24"/>
          <w:szCs w:val="24"/>
          <w:lang w:eastAsia="ru-RU"/>
        </w:rPr>
        <w:t xml:space="preserve"> (работающей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18 июля 2011 г. </w:t>
      </w:r>
      <w:r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N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223-ФЗ «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»</w:t>
      </w:r>
      <w:r/>
      <w:r>
        <w:rPr>
          <w:rFonts w:ascii="Times New Roman" w:hAnsi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Слушателям </w:t>
      </w:r>
      <w:r>
        <w:rPr>
          <w:rFonts w:ascii="Times New Roman" w:hAnsi="Times New Roman"/>
          <w:bCs/>
          <w:sz w:val="24"/>
          <w:szCs w:val="24"/>
        </w:rPr>
        <w:t xml:space="preserve">в период обучения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предоставляются учебно-методические пособия по программе обучения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eastAsia="ru-RU"/>
        </w:rPr>
        <w:t xml:space="preserve">доступ к электронной базе нормативно-правовых документов, в соответствии со спецификой программы обучения, который сохраняется</w:t>
      </w:r>
      <w:r>
        <w:rPr>
          <w:rFonts w:ascii="Times New Roman" w:hAnsi="Times New Roman"/>
          <w:bCs/>
          <w:sz w:val="24"/>
          <w:szCs w:val="24"/>
        </w:rPr>
        <w:t xml:space="preserve"> в течение 6 месяцев после окончания обучения.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Bdr/>
        <w:spacing w:after="0" w:line="240" w:lineRule="auto"/>
        <w:ind w:firstLine="709"/>
        <w:contextualSpacing w:val="true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Исполнитель в период оказания услуг оказывает учебно-методическую помощь обучающимся, в том числе в форме индивидуальных консультаций, оказываемых дистанционно с использованием систем видеоконференцсвязи.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7">
    <w:name w:val="Table Grid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Table Grid Light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1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2"/>
    <w:basedOn w:val="88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1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2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3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4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5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6"/>
    <w:basedOn w:val="88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1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2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3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4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5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6"/>
    <w:basedOn w:val="88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1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2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3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4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5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6"/>
    <w:basedOn w:val="88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3">
    <w:name w:val="Heading 1"/>
    <w:basedOn w:val="882"/>
    <w:next w:val="882"/>
    <w:link w:val="832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4">
    <w:name w:val="Heading 2"/>
    <w:basedOn w:val="882"/>
    <w:next w:val="882"/>
    <w:link w:val="833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5">
    <w:name w:val="Heading 3"/>
    <w:basedOn w:val="882"/>
    <w:next w:val="882"/>
    <w:link w:val="834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6">
    <w:name w:val="Heading 4"/>
    <w:basedOn w:val="882"/>
    <w:next w:val="882"/>
    <w:link w:val="835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7">
    <w:name w:val="Heading 5"/>
    <w:basedOn w:val="882"/>
    <w:next w:val="882"/>
    <w:link w:val="836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8">
    <w:name w:val="Heading 6"/>
    <w:basedOn w:val="882"/>
    <w:next w:val="882"/>
    <w:link w:val="837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9">
    <w:name w:val="Heading 7"/>
    <w:basedOn w:val="882"/>
    <w:next w:val="882"/>
    <w:link w:val="838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0">
    <w:name w:val="Heading 8"/>
    <w:basedOn w:val="882"/>
    <w:next w:val="882"/>
    <w:link w:val="839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1">
    <w:name w:val="Heading 9"/>
    <w:basedOn w:val="882"/>
    <w:next w:val="882"/>
    <w:link w:val="840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2">
    <w:name w:val="Heading 1 Char"/>
    <w:basedOn w:val="883"/>
    <w:link w:val="8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3">
    <w:name w:val="Heading 2 Char"/>
    <w:basedOn w:val="883"/>
    <w:link w:val="82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4">
    <w:name w:val="Heading 3 Char"/>
    <w:basedOn w:val="883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5">
    <w:name w:val="Heading 4 Char"/>
    <w:basedOn w:val="883"/>
    <w:link w:val="82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6">
    <w:name w:val="Heading 5 Char"/>
    <w:basedOn w:val="883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7">
    <w:name w:val="Heading 6 Char"/>
    <w:basedOn w:val="883"/>
    <w:link w:val="82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8">
    <w:name w:val="Heading 7 Char"/>
    <w:basedOn w:val="883"/>
    <w:link w:val="82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9">
    <w:name w:val="Heading 8 Char"/>
    <w:basedOn w:val="883"/>
    <w:link w:val="83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0">
    <w:name w:val="Heading 9 Char"/>
    <w:basedOn w:val="883"/>
    <w:link w:val="83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1">
    <w:name w:val="Title"/>
    <w:basedOn w:val="882"/>
    <w:next w:val="882"/>
    <w:link w:val="84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2">
    <w:name w:val="Title Char"/>
    <w:basedOn w:val="883"/>
    <w:link w:val="841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3">
    <w:name w:val="Subtitle"/>
    <w:basedOn w:val="882"/>
    <w:next w:val="882"/>
    <w:link w:val="844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4">
    <w:name w:val="Subtitle Char"/>
    <w:basedOn w:val="883"/>
    <w:link w:val="843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5">
    <w:name w:val="Quote"/>
    <w:basedOn w:val="882"/>
    <w:next w:val="882"/>
    <w:link w:val="846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6">
    <w:name w:val="Quote Char"/>
    <w:basedOn w:val="883"/>
    <w:link w:val="845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7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48">
    <w:name w:val="Intense Emphasis"/>
    <w:basedOn w:val="88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9">
    <w:name w:val="Intense Quote"/>
    <w:basedOn w:val="882"/>
    <w:next w:val="882"/>
    <w:link w:val="850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0">
    <w:name w:val="Intense Quote Char"/>
    <w:basedOn w:val="883"/>
    <w:link w:val="849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1">
    <w:name w:val="Intense Reference"/>
    <w:basedOn w:val="88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2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53">
    <w:name w:val="Subtle Emphasis"/>
    <w:basedOn w:val="88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4">
    <w:name w:val="Emphasis"/>
    <w:basedOn w:val="883"/>
    <w:uiPriority w:val="20"/>
    <w:qFormat/>
    <w:pPr>
      <w:pBdr/>
      <w:spacing/>
      <w:ind/>
    </w:pPr>
    <w:rPr>
      <w:i/>
      <w:iCs/>
    </w:rPr>
  </w:style>
  <w:style w:type="character" w:styleId="855">
    <w:name w:val="Strong"/>
    <w:basedOn w:val="883"/>
    <w:uiPriority w:val="22"/>
    <w:qFormat/>
    <w:pPr>
      <w:pBdr/>
      <w:spacing/>
      <w:ind/>
    </w:pPr>
    <w:rPr>
      <w:b/>
      <w:bCs/>
    </w:rPr>
  </w:style>
  <w:style w:type="character" w:styleId="856">
    <w:name w:val="Subtle Reference"/>
    <w:basedOn w:val="88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7">
    <w:name w:val="Book Title"/>
    <w:basedOn w:val="88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8">
    <w:name w:val="Header"/>
    <w:basedOn w:val="882"/>
    <w:link w:val="859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9">
    <w:name w:val="Header Char"/>
    <w:basedOn w:val="883"/>
    <w:link w:val="858"/>
    <w:uiPriority w:val="99"/>
    <w:pPr>
      <w:pBdr/>
      <w:spacing/>
      <w:ind/>
    </w:pPr>
  </w:style>
  <w:style w:type="paragraph" w:styleId="860">
    <w:name w:val="Footer"/>
    <w:basedOn w:val="882"/>
    <w:link w:val="86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1">
    <w:name w:val="Footer Char"/>
    <w:basedOn w:val="883"/>
    <w:link w:val="860"/>
    <w:uiPriority w:val="99"/>
    <w:pPr>
      <w:pBdr/>
      <w:spacing/>
      <w:ind/>
    </w:pPr>
  </w:style>
  <w:style w:type="paragraph" w:styleId="862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3">
    <w:name w:val="footnote text"/>
    <w:basedOn w:val="882"/>
    <w:link w:val="86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4">
    <w:name w:val="Footnote Text Char"/>
    <w:basedOn w:val="883"/>
    <w:link w:val="863"/>
    <w:uiPriority w:val="99"/>
    <w:semiHidden/>
    <w:pPr>
      <w:pBdr/>
      <w:spacing/>
      <w:ind/>
    </w:pPr>
    <w:rPr>
      <w:sz w:val="20"/>
      <w:szCs w:val="20"/>
    </w:rPr>
  </w:style>
  <w:style w:type="character" w:styleId="865">
    <w:name w:val="foot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paragraph" w:styleId="866">
    <w:name w:val="endnote text"/>
    <w:basedOn w:val="882"/>
    <w:link w:val="8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7">
    <w:name w:val="Endnote Text Char"/>
    <w:basedOn w:val="883"/>
    <w:link w:val="866"/>
    <w:uiPriority w:val="99"/>
    <w:semiHidden/>
    <w:pPr>
      <w:pBdr/>
      <w:spacing/>
      <w:ind/>
    </w:pPr>
    <w:rPr>
      <w:sz w:val="20"/>
      <w:szCs w:val="20"/>
    </w:rPr>
  </w:style>
  <w:style w:type="character" w:styleId="868">
    <w:name w:val="endnote reference"/>
    <w:basedOn w:val="883"/>
    <w:uiPriority w:val="99"/>
    <w:semiHidden/>
    <w:unhideWhenUsed/>
    <w:pPr>
      <w:pBdr/>
      <w:spacing/>
      <w:ind/>
    </w:pPr>
    <w:rPr>
      <w:vertAlign w:val="superscript"/>
    </w:rPr>
  </w:style>
  <w:style w:type="character" w:styleId="869">
    <w:name w:val="Hyperlink"/>
    <w:basedOn w:val="88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0">
    <w:name w:val="FollowedHyperlink"/>
    <w:basedOn w:val="88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1">
    <w:name w:val="toc 1"/>
    <w:basedOn w:val="882"/>
    <w:next w:val="882"/>
    <w:uiPriority w:val="39"/>
    <w:unhideWhenUsed/>
    <w:pPr>
      <w:pBdr/>
      <w:spacing w:after="100"/>
      <w:ind/>
    </w:pPr>
  </w:style>
  <w:style w:type="paragraph" w:styleId="872">
    <w:name w:val="toc 2"/>
    <w:basedOn w:val="882"/>
    <w:next w:val="882"/>
    <w:uiPriority w:val="39"/>
    <w:unhideWhenUsed/>
    <w:pPr>
      <w:pBdr/>
      <w:spacing w:after="100"/>
      <w:ind w:left="220"/>
    </w:pPr>
  </w:style>
  <w:style w:type="paragraph" w:styleId="873">
    <w:name w:val="toc 3"/>
    <w:basedOn w:val="882"/>
    <w:next w:val="882"/>
    <w:uiPriority w:val="39"/>
    <w:unhideWhenUsed/>
    <w:pPr>
      <w:pBdr/>
      <w:spacing w:after="100"/>
      <w:ind w:left="440"/>
    </w:pPr>
  </w:style>
  <w:style w:type="paragraph" w:styleId="874">
    <w:name w:val="toc 4"/>
    <w:basedOn w:val="882"/>
    <w:next w:val="882"/>
    <w:uiPriority w:val="39"/>
    <w:unhideWhenUsed/>
    <w:pPr>
      <w:pBdr/>
      <w:spacing w:after="100"/>
      <w:ind w:left="660"/>
    </w:pPr>
  </w:style>
  <w:style w:type="paragraph" w:styleId="875">
    <w:name w:val="toc 5"/>
    <w:basedOn w:val="882"/>
    <w:next w:val="882"/>
    <w:uiPriority w:val="39"/>
    <w:unhideWhenUsed/>
    <w:pPr>
      <w:pBdr/>
      <w:spacing w:after="100"/>
      <w:ind w:left="880"/>
    </w:pPr>
  </w:style>
  <w:style w:type="paragraph" w:styleId="876">
    <w:name w:val="toc 6"/>
    <w:basedOn w:val="882"/>
    <w:next w:val="882"/>
    <w:uiPriority w:val="39"/>
    <w:unhideWhenUsed/>
    <w:pPr>
      <w:pBdr/>
      <w:spacing w:after="100"/>
      <w:ind w:left="1100"/>
    </w:pPr>
  </w:style>
  <w:style w:type="paragraph" w:styleId="877">
    <w:name w:val="toc 7"/>
    <w:basedOn w:val="882"/>
    <w:next w:val="882"/>
    <w:uiPriority w:val="39"/>
    <w:unhideWhenUsed/>
    <w:pPr>
      <w:pBdr/>
      <w:spacing w:after="100"/>
      <w:ind w:left="1320"/>
    </w:pPr>
  </w:style>
  <w:style w:type="paragraph" w:styleId="878">
    <w:name w:val="toc 8"/>
    <w:basedOn w:val="882"/>
    <w:next w:val="882"/>
    <w:uiPriority w:val="39"/>
    <w:unhideWhenUsed/>
    <w:pPr>
      <w:pBdr/>
      <w:spacing w:after="100"/>
      <w:ind w:left="1540"/>
    </w:pPr>
  </w:style>
  <w:style w:type="paragraph" w:styleId="879">
    <w:name w:val="toc 9"/>
    <w:basedOn w:val="882"/>
    <w:next w:val="882"/>
    <w:uiPriority w:val="39"/>
    <w:unhideWhenUsed/>
    <w:pPr>
      <w:pBdr/>
      <w:spacing w:after="100"/>
      <w:ind w:left="1760"/>
    </w:p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qFormat/>
    <w:pPr>
      <w:pBdr/>
      <w:spacing/>
      <w:ind/>
    </w:pPr>
    <w:rPr>
      <w:rFonts w:ascii="Calibri" w:hAnsi="Calibri" w:eastAsia="Calibri" w:cs="Times New Roman"/>
    </w:rPr>
  </w:style>
  <w:style w:type="character" w:styleId="883" w:default="1">
    <w:name w:val="Default Paragraph Font"/>
    <w:uiPriority w:val="1"/>
    <w:semiHidden/>
    <w:unhideWhenUsed/>
    <w:pPr>
      <w:pBdr/>
      <w:spacing/>
      <w:ind/>
    </w:pPr>
  </w:style>
  <w:style w:type="table" w:styleId="88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Администрация Липецкой области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Погожева Юлия Александровна</dc:creator>
  <cp:keywords/>
  <dc:description/>
  <cp:revision>6</cp:revision>
  <dcterms:created xsi:type="dcterms:W3CDTF">2025-02-13T11:37:00Z</dcterms:created>
  <dcterms:modified xsi:type="dcterms:W3CDTF">2025-03-03T07:26:45Z</dcterms:modified>
</cp:coreProperties>
</file>